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03" w:rsidRDefault="00205503" w:rsidP="00205503">
      <w:pPr>
        <w:rPr>
          <w:b/>
          <w:sz w:val="28"/>
          <w:szCs w:val="28"/>
        </w:rPr>
      </w:pP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внеурочной деятельности 1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по направлению «Шахматы» на 2013-2014 учебный год.</w:t>
      </w:r>
    </w:p>
    <w:p w:rsidR="00205503" w:rsidRDefault="00205503" w:rsidP="002055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Программой предусмотрено 33 занятия (одно занятие в неделю: 2 урока по 30 минут). Учебный ку</w:t>
      </w:r>
      <w:proofErr w:type="gramStart"/>
      <w:r>
        <w:rPr>
          <w:sz w:val="28"/>
          <w:szCs w:val="28"/>
        </w:rPr>
        <w:t>рс  вкл</w:t>
      </w:r>
      <w:proofErr w:type="gramEnd"/>
      <w:r>
        <w:rPr>
          <w:sz w:val="28"/>
          <w:szCs w:val="28"/>
        </w:rPr>
        <w:t xml:space="preserve">ючает в себя 6 тем. На каждом занятии прорабатывается элементарный шахматный материал с углубленной проработкой отдельных тем. Детально изучается сила и слабость каждой шахматной фигуры, её игровые возможности. Уже на первом этапе обучения дети должны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оценивать сравнительную силу шахматных фигур, делать выводы о том, что ладья, к примеру, сильнее коня, а ферзь сильнее ладьи.</w:t>
      </w:r>
    </w:p>
    <w:p w:rsidR="00205503" w:rsidRDefault="00205503" w:rsidP="002055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На занятиях применяются доступные задания по каждой теме. Например, при изучении игровых возможностей ладьи детям предлагаются дифференцированные дидактические задания.</w:t>
      </w:r>
    </w:p>
    <w:p w:rsidR="00205503" w:rsidRDefault="00205503" w:rsidP="002055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Начинаются занятия со «знакомства» с шахматной доской, начальной расстановкой фигур. Ходы и взятие фигур изучаются в игровой форме.</w:t>
      </w:r>
    </w:p>
    <w:p w:rsidR="00205503" w:rsidRDefault="00205503" w:rsidP="00205503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 Мартынов И.П.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5503"/>
    <w:rsid w:val="00205503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2014-02-27T06:21:00Z</dcterms:created>
  <dcterms:modified xsi:type="dcterms:W3CDTF">2014-02-27T06:21:00Z</dcterms:modified>
</cp:coreProperties>
</file>